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0DDF6" w14:textId="31C8E99D" w:rsidR="0056701B" w:rsidRPr="0056701B" w:rsidRDefault="00252924" w:rsidP="0056701B">
      <w:pPr>
        <w:shd w:val="clear" w:color="auto" w:fill="004494"/>
        <w:spacing w:after="0" w:line="240" w:lineRule="auto"/>
        <w:outlineLvl w:val="0"/>
        <w:rPr>
          <w:rFonts w:ascii="inherit" w:eastAsia="Times New Roman" w:hAnsi="inherit" w:cs="Arial"/>
          <w:b/>
          <w:bCs/>
          <w:color w:val="FFFFFF"/>
          <w:kern w:val="36"/>
          <w:sz w:val="48"/>
          <w:szCs w:val="48"/>
          <w:lang w:val="en-US"/>
        </w:rPr>
      </w:pPr>
      <w:proofErr w:type="spellStart"/>
      <w:r>
        <w:rPr>
          <w:rFonts w:ascii="inherit" w:eastAsia="Times New Roman" w:hAnsi="inherit" w:cs="Arial"/>
          <w:b/>
          <w:bCs/>
          <w:color w:val="FFFFFF"/>
          <w:kern w:val="36"/>
          <w:sz w:val="48"/>
          <w:szCs w:val="48"/>
          <w:lang w:val="en-US"/>
        </w:rPr>
        <w:t>Rozwój</w:t>
      </w:r>
      <w:proofErr w:type="spellEnd"/>
      <w:r>
        <w:rPr>
          <w:rFonts w:ascii="inherit" w:eastAsia="Times New Roman" w:hAnsi="inherit" w:cs="Arial"/>
          <w:b/>
          <w:bCs/>
          <w:color w:val="FFFFFF"/>
          <w:kern w:val="36"/>
          <w:sz w:val="48"/>
          <w:szCs w:val="48"/>
          <w:lang w:val="en-US"/>
        </w:rPr>
        <w:t xml:space="preserve"> </w:t>
      </w:r>
      <w:proofErr w:type="spellStart"/>
      <w:r>
        <w:rPr>
          <w:rFonts w:ascii="inherit" w:eastAsia="Times New Roman" w:hAnsi="inherit" w:cs="Arial"/>
          <w:b/>
          <w:bCs/>
          <w:color w:val="FFFFFF"/>
          <w:kern w:val="36"/>
          <w:sz w:val="48"/>
          <w:szCs w:val="48"/>
          <w:lang w:val="en-US"/>
        </w:rPr>
        <w:t>obszarów</w:t>
      </w:r>
      <w:proofErr w:type="spellEnd"/>
      <w:r>
        <w:rPr>
          <w:rFonts w:ascii="inherit" w:eastAsia="Times New Roman" w:hAnsi="inherit" w:cs="Arial"/>
          <w:b/>
          <w:bCs/>
          <w:color w:val="FFFFFF"/>
          <w:kern w:val="36"/>
          <w:sz w:val="48"/>
          <w:szCs w:val="48"/>
          <w:lang w:val="en-US"/>
        </w:rPr>
        <w:t xml:space="preserve"> </w:t>
      </w:r>
      <w:proofErr w:type="spellStart"/>
      <w:r>
        <w:rPr>
          <w:rFonts w:ascii="inherit" w:eastAsia="Times New Roman" w:hAnsi="inherit" w:cs="Arial"/>
          <w:b/>
          <w:bCs/>
          <w:color w:val="FFFFFF"/>
          <w:kern w:val="36"/>
          <w:sz w:val="48"/>
          <w:szCs w:val="48"/>
          <w:lang w:val="en-US"/>
        </w:rPr>
        <w:t>wiejskich</w:t>
      </w:r>
      <w:proofErr w:type="spellEnd"/>
    </w:p>
    <w:p w14:paraId="650FF87D" w14:textId="5B136F5D" w:rsidR="0056701B" w:rsidRPr="0056701B" w:rsidRDefault="00252924" w:rsidP="00996EC9">
      <w:pPr>
        <w:shd w:val="clear" w:color="auto" w:fill="004494"/>
        <w:spacing w:after="100" w:afterAutospacing="1" w:line="240" w:lineRule="auto"/>
        <w:rPr>
          <w:rFonts w:ascii="Arial" w:eastAsia="Times New Roman" w:hAnsi="Arial" w:cs="Arial"/>
          <w:color w:val="FFFFFF"/>
          <w:sz w:val="24"/>
          <w:szCs w:val="24"/>
          <w:lang w:val="en-US"/>
        </w:rPr>
      </w:pPr>
      <w:proofErr w:type="spellStart"/>
      <w:r>
        <w:rPr>
          <w:rFonts w:ascii="Arial" w:eastAsia="Times New Roman" w:hAnsi="Arial" w:cs="Arial"/>
          <w:color w:val="FFFFFF"/>
          <w:sz w:val="24"/>
          <w:szCs w:val="24"/>
          <w:lang w:val="en-US"/>
        </w:rPr>
        <w:t>Ochrona</w:t>
      </w:r>
      <w:proofErr w:type="spellEnd"/>
      <w:r>
        <w:rPr>
          <w:rFonts w:ascii="Arial" w:eastAsia="Times New Roman" w:hAnsi="Arial" w:cs="Arial"/>
          <w:color w:val="FFFFF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FFFFFF"/>
          <w:sz w:val="24"/>
          <w:szCs w:val="24"/>
          <w:lang w:val="en-US"/>
        </w:rPr>
        <w:t>przyszłości</w:t>
      </w:r>
      <w:proofErr w:type="spellEnd"/>
      <w:r>
        <w:rPr>
          <w:rFonts w:ascii="Arial" w:eastAsia="Times New Roman" w:hAnsi="Arial" w:cs="Arial"/>
          <w:color w:val="FFFFF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FFFFFF"/>
          <w:sz w:val="24"/>
          <w:szCs w:val="24"/>
          <w:lang w:val="en-US"/>
        </w:rPr>
        <w:t>społeczności</w:t>
      </w:r>
      <w:proofErr w:type="spellEnd"/>
      <w:r>
        <w:rPr>
          <w:rFonts w:ascii="Arial" w:eastAsia="Times New Roman" w:hAnsi="Arial" w:cs="Arial"/>
          <w:color w:val="FFFFF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FFFFFF"/>
          <w:sz w:val="24"/>
          <w:szCs w:val="24"/>
          <w:lang w:val="en-US"/>
        </w:rPr>
        <w:t>wiejskich</w:t>
      </w:r>
      <w:proofErr w:type="spellEnd"/>
    </w:p>
    <w:p w14:paraId="643582C3" w14:textId="5FF8126C" w:rsidR="0056701B" w:rsidRPr="0056701B" w:rsidRDefault="00252924" w:rsidP="0056701B">
      <w:pPr>
        <w:pStyle w:val="Nagwek2"/>
        <w:pBdr>
          <w:bottom w:val="single" w:sz="12" w:space="0" w:color="000000"/>
        </w:pBd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Ogólnie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informacje</w:t>
      </w:r>
      <w:proofErr w:type="spellEnd"/>
    </w:p>
    <w:p w14:paraId="15772ABF" w14:textId="77777777" w:rsidR="00252924" w:rsidRPr="00252924" w:rsidRDefault="00252924" w:rsidP="00252924">
      <w:pPr>
        <w:pStyle w:val="Nagwek2"/>
        <w:pBdr>
          <w:bottom w:val="single" w:sz="12" w:space="0" w:color="000000"/>
        </w:pBdr>
        <w:shd w:val="clear" w:color="auto" w:fill="FFFFFF"/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</w:pP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Wspólna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polityka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rolna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(WPR)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wspiera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ekonomiczny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aspekt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życia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społeczności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wiejskich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poprzez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środki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rozwoju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obszarów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wiejskich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(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tzw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.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drugi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filar).</w:t>
      </w:r>
    </w:p>
    <w:p w14:paraId="17AF9ED5" w14:textId="77777777" w:rsidR="00252924" w:rsidRPr="00252924" w:rsidRDefault="00252924" w:rsidP="00252924">
      <w:pPr>
        <w:pStyle w:val="Nagwek2"/>
        <w:pBdr>
          <w:bottom w:val="single" w:sz="12" w:space="0" w:color="000000"/>
        </w:pBdr>
        <w:shd w:val="clear" w:color="auto" w:fill="FFFFFF"/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</w:pP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Środki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rozwoju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obszarów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wiejskich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są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wsparciem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dla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środków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rynkowych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dochodu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w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ramach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WPR,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poprzez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strategie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finansowanie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mające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na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celu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wzmocnienie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sektorów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rolno-spożywczych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leśnych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UE,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zrównoważenie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środowiskowe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ogólnie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dobrobyt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obszarów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wiejskich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.</w:t>
      </w:r>
    </w:p>
    <w:p w14:paraId="476D02C2" w14:textId="77777777" w:rsidR="00252924" w:rsidRPr="00252924" w:rsidRDefault="00252924" w:rsidP="00252924">
      <w:pPr>
        <w:pStyle w:val="Nagwek2"/>
        <w:pBdr>
          <w:bottom w:val="single" w:sz="12" w:space="0" w:color="000000"/>
        </w:pBdr>
        <w:shd w:val="clear" w:color="auto" w:fill="FFFFFF"/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</w:pP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Trzy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długoterminowe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cele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rozwoju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obszarów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wiejskich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dla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UE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obejmują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:</w:t>
      </w:r>
    </w:p>
    <w:p w14:paraId="3C0F9ADA" w14:textId="77777777" w:rsidR="00252924" w:rsidRPr="00252924" w:rsidRDefault="00252924" w:rsidP="00252924">
      <w:pPr>
        <w:pStyle w:val="Nagwek2"/>
        <w:pBdr>
          <w:bottom w:val="single" w:sz="12" w:space="0" w:color="000000"/>
        </w:pBdr>
        <w:shd w:val="clear" w:color="auto" w:fill="FFFFFF"/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</w:pPr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-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sprzyjanie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konkurencyjności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rolnictwa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;</w:t>
      </w:r>
    </w:p>
    <w:p w14:paraId="3DB476E3" w14:textId="77777777" w:rsidR="00252924" w:rsidRPr="00252924" w:rsidRDefault="00252924" w:rsidP="00252924">
      <w:pPr>
        <w:pStyle w:val="Nagwek2"/>
        <w:pBdr>
          <w:bottom w:val="single" w:sz="12" w:space="0" w:color="000000"/>
        </w:pBdr>
        <w:shd w:val="clear" w:color="auto" w:fill="FFFFFF"/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</w:pPr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-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zapewnienie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zrównoważonego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zarządzania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zasobami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naturalnymi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oraz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działania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w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dziedzinie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klimatu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;</w:t>
      </w:r>
    </w:p>
    <w:p w14:paraId="0984F660" w14:textId="77777777" w:rsidR="00252924" w:rsidRDefault="00252924" w:rsidP="00252924">
      <w:pPr>
        <w:pStyle w:val="Nagwek2"/>
        <w:pBdr>
          <w:bottom w:val="single" w:sz="12" w:space="0" w:color="000000"/>
        </w:pBdr>
        <w:shd w:val="clear" w:color="auto" w:fill="FFFFFF"/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</w:pPr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-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osiągnięcie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zrównoważonego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rozwoju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terytorialnego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gospodarek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społeczności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wiejskich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, w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tym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tworzenie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i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utrzymanie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miejsc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 xml:space="preserve"> </w:t>
      </w:r>
      <w:proofErr w:type="spellStart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pracy</w:t>
      </w:r>
      <w:proofErr w:type="spellEnd"/>
      <w:r w:rsidRPr="00252924">
        <w:rPr>
          <w:rFonts w:asciiTheme="minorHAnsi" w:eastAsia="Times New Roman" w:hAnsiTheme="minorHAnsi" w:cstheme="minorHAnsi"/>
          <w:color w:val="404040"/>
          <w:sz w:val="22"/>
          <w:szCs w:val="22"/>
          <w:lang w:val="en-US"/>
        </w:rPr>
        <w:t>.</w:t>
      </w:r>
    </w:p>
    <w:p w14:paraId="252A3E87" w14:textId="77777777" w:rsidR="00252924" w:rsidRDefault="00252924" w:rsidP="00252924">
      <w:pPr>
        <w:pStyle w:val="Nagwek2"/>
        <w:pBdr>
          <w:bottom w:val="single" w:sz="12" w:space="0" w:color="000000"/>
        </w:pBd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</w:p>
    <w:p w14:paraId="59DBC6A3" w14:textId="16C269E9" w:rsidR="0056701B" w:rsidRPr="006A47A1" w:rsidRDefault="00252924" w:rsidP="00252924">
      <w:pPr>
        <w:pStyle w:val="Nagwek2"/>
        <w:pBdr>
          <w:bottom w:val="single" w:sz="12" w:space="0" w:color="000000"/>
        </w:pBd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proofErr w:type="spellStart"/>
      <w:r w:rsidRPr="00252924">
        <w:rPr>
          <w:rFonts w:asciiTheme="minorHAnsi" w:hAnsiTheme="minorHAnsi" w:cstheme="minorHAnsi"/>
          <w:color w:val="000000"/>
          <w:sz w:val="22"/>
          <w:szCs w:val="22"/>
        </w:rPr>
        <w:t>Programy</w:t>
      </w:r>
      <w:proofErr w:type="spellEnd"/>
      <w:r w:rsidRPr="0025292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000000"/>
          <w:sz w:val="22"/>
          <w:szCs w:val="22"/>
        </w:rPr>
        <w:t>rozwoju</w:t>
      </w:r>
      <w:proofErr w:type="spellEnd"/>
      <w:r w:rsidRPr="0025292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000000"/>
          <w:sz w:val="22"/>
          <w:szCs w:val="22"/>
        </w:rPr>
        <w:t>obszarów</w:t>
      </w:r>
      <w:proofErr w:type="spellEnd"/>
      <w:r w:rsidRPr="0025292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000000"/>
          <w:sz w:val="22"/>
          <w:szCs w:val="22"/>
        </w:rPr>
        <w:t>wiejskich</w:t>
      </w:r>
      <w:proofErr w:type="spellEnd"/>
    </w:p>
    <w:p w14:paraId="59272A64" w14:textId="77777777" w:rsidR="00252924" w:rsidRPr="00252924" w:rsidRDefault="00252924" w:rsidP="00252924">
      <w:pPr>
        <w:pStyle w:val="NormalnyWeb"/>
        <w:shd w:val="clear" w:color="auto" w:fill="FFFFFF"/>
        <w:rPr>
          <w:rFonts w:asciiTheme="minorHAnsi" w:hAnsiTheme="minorHAnsi" w:cstheme="minorHAnsi"/>
          <w:color w:val="404040"/>
          <w:sz w:val="22"/>
          <w:szCs w:val="22"/>
        </w:rPr>
      </w:pP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Programy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te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mogą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być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przygotowywane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poziomie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krajowym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lub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regionalnym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muszą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być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ukierunkowane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co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najmniej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cztery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z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sześciu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priorytetów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Europejskiego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Funduszu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Rolnego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rzecz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Rozwoju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Obszarów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Wiejskich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(EFRROW).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Kraje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muszą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wyznaczyć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cele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zgodnie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z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konkretnymi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obszarami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zainteresowania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określając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środki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które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wykorzystają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oraz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finansowanie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które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będzie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im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potrzebne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do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osiągnięcia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tych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celów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>.</w:t>
      </w:r>
    </w:p>
    <w:p w14:paraId="4E9233D1" w14:textId="77777777" w:rsidR="00252924" w:rsidRPr="00252924" w:rsidRDefault="00252924" w:rsidP="00252924">
      <w:pPr>
        <w:pStyle w:val="NormalnyWeb"/>
        <w:shd w:val="clear" w:color="auto" w:fill="FFFFFF"/>
        <w:rPr>
          <w:rFonts w:asciiTheme="minorHAnsi" w:hAnsiTheme="minorHAnsi" w:cstheme="minorHAnsi"/>
          <w:color w:val="404040"/>
          <w:sz w:val="22"/>
          <w:szCs w:val="22"/>
        </w:rPr>
      </w:pPr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W ten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sposób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podczas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gdy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Komisja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Europejska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zatwierdza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monitoruje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PROW,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decyzje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dotyczące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wyboru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projektów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przyznawania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płatności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są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podejmowane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poziomie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krajowym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lub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regionalnym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>.</w:t>
      </w:r>
    </w:p>
    <w:p w14:paraId="59DAAB92" w14:textId="77777777" w:rsidR="00252924" w:rsidRPr="00252924" w:rsidRDefault="00252924" w:rsidP="00252924">
      <w:pPr>
        <w:pStyle w:val="NormalnyWeb"/>
        <w:shd w:val="clear" w:color="auto" w:fill="FFFFFF"/>
        <w:rPr>
          <w:rFonts w:asciiTheme="minorHAnsi" w:hAnsiTheme="minorHAnsi" w:cstheme="minorHAnsi"/>
          <w:color w:val="404040"/>
          <w:sz w:val="22"/>
          <w:szCs w:val="22"/>
        </w:rPr>
      </w:pP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Przykłady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projektów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finansowanych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przez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EFRROW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realizowanych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ramach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PROW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obejmują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>:</w:t>
      </w:r>
    </w:p>
    <w:p w14:paraId="34F4E74B" w14:textId="46FA4D70" w:rsidR="00252924" w:rsidRPr="00252924" w:rsidRDefault="00252924" w:rsidP="00252924">
      <w:pPr>
        <w:pStyle w:val="NormalnyWeb"/>
        <w:shd w:val="clear" w:color="auto" w:fill="FFFFFF"/>
        <w:rPr>
          <w:rFonts w:asciiTheme="minorHAnsi" w:hAnsiTheme="minorHAnsi" w:cstheme="minorHAnsi"/>
          <w:color w:val="404040"/>
          <w:sz w:val="22"/>
          <w:szCs w:val="22"/>
        </w:rPr>
      </w:pPr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- Co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najmniej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30%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finansowania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każdego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PROW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musi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być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przeznaczone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działania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istotne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dla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środowiska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zmiany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klimatu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z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czego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znaczna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część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jest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przekazywana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za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pośrednictwem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dotacji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404040"/>
          <w:sz w:val="22"/>
          <w:szCs w:val="22"/>
        </w:rPr>
        <w:br/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rocznych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płatności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dla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rolników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którzy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przestawiają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się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praktyki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bardziej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przyjazne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środowisku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>.</w:t>
      </w:r>
    </w:p>
    <w:p w14:paraId="3259E743" w14:textId="0B79AE90" w:rsidR="00252924" w:rsidRPr="00252924" w:rsidRDefault="00252924" w:rsidP="00252924">
      <w:pPr>
        <w:pStyle w:val="NormalnyWeb"/>
        <w:shd w:val="clear" w:color="auto" w:fill="FFFFFF"/>
        <w:rPr>
          <w:rFonts w:asciiTheme="minorHAnsi" w:hAnsiTheme="minorHAnsi" w:cstheme="minorHAnsi"/>
          <w:color w:val="404040"/>
          <w:sz w:val="22"/>
          <w:szCs w:val="22"/>
        </w:rPr>
      </w:pPr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- Co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najmniej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5%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środków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z PROW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musi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być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przeznaczone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działania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oparte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metodzie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LEAD</w:t>
      </w:r>
      <w:bookmarkStart w:id="0" w:name="_GoBack"/>
      <w:bookmarkEnd w:id="0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ER. LEADER to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podejście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"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oddolne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",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łączące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rolników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przedsiębiorstwa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wiejskie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organizacje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lokalne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władze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publiczne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osoby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fizyczne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z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różnych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sektorów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celu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utworzenia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lokalnej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grupy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działania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(LGD). </w:t>
      </w:r>
    </w:p>
    <w:p w14:paraId="3E09C5F7" w14:textId="77777777" w:rsidR="00252924" w:rsidRPr="00252924" w:rsidRDefault="00252924" w:rsidP="00252924">
      <w:pPr>
        <w:pStyle w:val="NormalnyWeb"/>
        <w:shd w:val="clear" w:color="auto" w:fill="FFFFFF"/>
        <w:rPr>
          <w:rFonts w:asciiTheme="minorHAnsi" w:hAnsiTheme="minorHAnsi" w:cstheme="minorHAnsi"/>
          <w:color w:val="404040"/>
          <w:sz w:val="22"/>
          <w:szCs w:val="22"/>
        </w:rPr>
      </w:pPr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-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Programy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rozwoju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obszarów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wiejskich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mogą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również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wspierać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inteligentne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wioski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.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Inicjatywa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ta ma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celu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zapewnienie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wszechstronnego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zestawu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narzędzi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służących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wspieraniu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umożliwianiu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pomaganiu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zwiększaniu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skali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innowacji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obszarach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wiejskich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całej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Europie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uwzględnieniu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wspólnych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wyzwań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przed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którymi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stoją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obywatele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zamieszkujący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obszary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wiejskie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>.</w:t>
      </w:r>
    </w:p>
    <w:p w14:paraId="0DAAFCBA" w14:textId="5C2548A3" w:rsidR="00DA0F73" w:rsidRPr="006A47A1" w:rsidRDefault="00252924" w:rsidP="00252924">
      <w:pPr>
        <w:pStyle w:val="NormalnyWeb"/>
        <w:shd w:val="clear" w:color="auto" w:fill="FFFFFF"/>
        <w:rPr>
          <w:rFonts w:cstheme="minorHAnsi"/>
        </w:rPr>
      </w:pPr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-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Ponadto</w:t>
      </w:r>
      <w:proofErr w:type="spellEnd"/>
      <w:r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poprzez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instrumenty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finansowe</w:t>
      </w:r>
      <w:proofErr w:type="spellEnd"/>
      <w:r>
        <w:rPr>
          <w:rFonts w:asciiTheme="minorHAnsi" w:hAnsiTheme="minorHAnsi" w:cstheme="minorHAnsi"/>
          <w:color w:val="404040"/>
          <w:sz w:val="22"/>
          <w:szCs w:val="22"/>
        </w:rPr>
        <w:t>,</w:t>
      </w:r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EFRROW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działa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jako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źródło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pożyczek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mikrokredytów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gwarancji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udziałów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kapitałowych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dostępnych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dla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beneficjentów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w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rolnictwie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leśnictwie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i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na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obszarach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wiejskich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,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którzy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podejmują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finansowo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opłacalne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projekty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wspierające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</w:t>
      </w:r>
      <w:proofErr w:type="spellStart"/>
      <w:r w:rsidRPr="00252924">
        <w:rPr>
          <w:rFonts w:asciiTheme="minorHAnsi" w:hAnsiTheme="minorHAnsi" w:cstheme="minorHAnsi"/>
          <w:color w:val="404040"/>
          <w:sz w:val="22"/>
          <w:szCs w:val="22"/>
        </w:rPr>
        <w:t>priorytety</w:t>
      </w:r>
      <w:proofErr w:type="spellEnd"/>
      <w:r w:rsidRPr="00252924">
        <w:rPr>
          <w:rFonts w:asciiTheme="minorHAnsi" w:hAnsiTheme="minorHAnsi" w:cstheme="minorHAnsi"/>
          <w:color w:val="404040"/>
          <w:sz w:val="22"/>
          <w:szCs w:val="22"/>
        </w:rPr>
        <w:t xml:space="preserve"> EFRROW.</w:t>
      </w:r>
    </w:p>
    <w:sectPr w:rsidR="00DA0F73" w:rsidRPr="006A47A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8DE9F" w14:textId="77777777" w:rsidR="00F83E3F" w:rsidRDefault="00F83E3F" w:rsidP="00996EC9">
      <w:pPr>
        <w:spacing w:after="0" w:line="240" w:lineRule="auto"/>
      </w:pPr>
      <w:r>
        <w:separator/>
      </w:r>
    </w:p>
  </w:endnote>
  <w:endnote w:type="continuationSeparator" w:id="0">
    <w:p w14:paraId="3F92EF7B" w14:textId="77777777" w:rsidR="00F83E3F" w:rsidRDefault="00F83E3F" w:rsidP="0099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677C4" w14:textId="5E985497" w:rsidR="00996EC9" w:rsidRPr="00996EC9" w:rsidRDefault="00996EC9">
    <w:pPr>
      <w:pStyle w:val="Stopka"/>
      <w:rPr>
        <w:lang w:val="en-US"/>
      </w:rPr>
    </w:pPr>
    <w:r>
      <w:rPr>
        <w:lang w:val="en-US"/>
      </w:rPr>
      <w:t>For more information visit</w:t>
    </w:r>
    <w:r w:rsidRPr="00996EC9">
      <w:rPr>
        <w:lang w:val="en-US"/>
      </w:rPr>
      <w:t xml:space="preserve"> </w:t>
    </w:r>
    <w:r>
      <w:rPr>
        <w:lang w:val="en-US"/>
      </w:rPr>
      <w:t xml:space="preserve">The European Commission’s website on the Common agricultural policy: </w:t>
    </w:r>
    <w:hyperlink r:id="rId1" w:history="1">
      <w:r w:rsidRPr="006A6DA0">
        <w:rPr>
          <w:rStyle w:val="Hipercze"/>
        </w:rPr>
        <w:t>https://ec.europa.eu/info/food-farming-fisheries/key-policies/common-agricultural-policy/cap-glance_en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51186" w14:textId="77777777" w:rsidR="00F83E3F" w:rsidRDefault="00F83E3F" w:rsidP="00996EC9">
      <w:pPr>
        <w:spacing w:after="0" w:line="240" w:lineRule="auto"/>
      </w:pPr>
      <w:r>
        <w:separator/>
      </w:r>
    </w:p>
  </w:footnote>
  <w:footnote w:type="continuationSeparator" w:id="0">
    <w:p w14:paraId="6116AE15" w14:textId="77777777" w:rsidR="00F83E3F" w:rsidRDefault="00F83E3F" w:rsidP="00996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0101"/>
    <w:multiLevelType w:val="multilevel"/>
    <w:tmpl w:val="7EAC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DE4C9C"/>
    <w:multiLevelType w:val="multilevel"/>
    <w:tmpl w:val="825A3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C631B5"/>
    <w:multiLevelType w:val="multilevel"/>
    <w:tmpl w:val="59F8D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01B"/>
    <w:rsid w:val="00252924"/>
    <w:rsid w:val="0056701B"/>
    <w:rsid w:val="00692666"/>
    <w:rsid w:val="006A47A1"/>
    <w:rsid w:val="00996EC9"/>
    <w:rsid w:val="00DA0F73"/>
    <w:rsid w:val="00F8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F7CA"/>
  <w15:chartTrackingRefBased/>
  <w15:docId w15:val="{C62082EE-47EB-4915-A1E6-90033B2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en-GB"/>
    </w:rPr>
  </w:style>
  <w:style w:type="paragraph" w:styleId="Nagwek1">
    <w:name w:val="heading 1"/>
    <w:basedOn w:val="Normalny"/>
    <w:link w:val="Nagwek1Znak"/>
    <w:uiPriority w:val="9"/>
    <w:qFormat/>
    <w:rsid w:val="005670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0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70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567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01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Hipercze">
    <w:name w:val="Hyperlink"/>
    <w:basedOn w:val="Domylnaczcionkaakapitu"/>
    <w:uiPriority w:val="99"/>
    <w:unhideWhenUsed/>
    <w:rsid w:val="005670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670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EC9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996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EC9"/>
    <w:rPr>
      <w:lang w:val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6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9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3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info/food-farming-fisheries/key-policies/common-agricultural-policy/cap-glance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398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Menelaos Lambis</dc:creator>
  <cp:keywords/>
  <dc:description/>
  <cp:lastModifiedBy>Marzena Magdziak</cp:lastModifiedBy>
  <cp:revision>5</cp:revision>
  <dcterms:created xsi:type="dcterms:W3CDTF">2021-01-14T13:18:00Z</dcterms:created>
  <dcterms:modified xsi:type="dcterms:W3CDTF">2022-02-02T23:36:00Z</dcterms:modified>
</cp:coreProperties>
</file>