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004494" w:val="clear"/>
        <w:spacing w:after="0" w:line="240" w:lineRule="auto"/>
        <w:rPr>
          <w:rFonts w:ascii="inherit" w:cs="inherit" w:eastAsia="inherit" w:hAnsi="inherit"/>
          <w:b w:val="1"/>
          <w:color w:val="ffffff"/>
          <w:sz w:val="48"/>
          <w:szCs w:val="48"/>
        </w:rPr>
      </w:pPr>
      <w:r w:rsidDel="00000000" w:rsidR="00000000" w:rsidRPr="00000000">
        <w:rPr>
          <w:rFonts w:ascii="inherit" w:cs="inherit" w:eastAsia="inherit" w:hAnsi="inherit"/>
          <w:b w:val="1"/>
          <w:color w:val="ffffff"/>
          <w:sz w:val="48"/>
          <w:szCs w:val="48"/>
          <w:rtl w:val="0"/>
        </w:rPr>
        <w:t xml:space="preserve">Desarrollo rural</w:t>
      </w:r>
    </w:p>
    <w:p w:rsidR="00000000" w:rsidDel="00000000" w:rsidP="00000000" w:rsidRDefault="00000000" w:rsidRPr="00000000" w14:paraId="00000002">
      <w:pPr>
        <w:shd w:fill="004494" w:val="clear"/>
        <w:spacing w:after="280" w:line="240"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Proteger el futuro de las comunidades rurales.</w:t>
      </w:r>
    </w:p>
    <w:p w:rsidR="00000000" w:rsidDel="00000000" w:rsidP="00000000" w:rsidRDefault="00000000" w:rsidRPr="00000000" w14:paraId="00000003">
      <w:pPr>
        <w:pStyle w:val="Heading2"/>
        <w:pBdr>
          <w:bottom w:color="000000" w:space="0" w:sz="12" w:val="single"/>
        </w:pBdr>
        <w:shd w:fill="ffffff" w:val="clea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Descripción general</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La Política Agrícola Común (PAC) tiene como objetivo apoyar el desarrollo y crecimiento económico de las comunidades rurales mediante medidas de desarrollo rural (el llamado segundo pilar).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Las medidas de desarrollo rural refuerzan las medidas de organización de los mercados y apoyo a la renta de la PAC con financiación para reforzar el sector agroalimentario y forestal de la UE, la sostenibilidad medioambiental y el bienestar de las zonas rurales en general.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Los tres objetivos de desarrollo rural a largo plazo de la UE son los siguientes:</w:t>
      </w:r>
    </w:p>
    <w:p w:rsidR="00000000" w:rsidDel="00000000" w:rsidP="00000000" w:rsidRDefault="00000000" w:rsidRPr="00000000" w14:paraId="00000007">
      <w:pPr>
        <w:numPr>
          <w:ilvl w:val="0"/>
          <w:numId w:val="1"/>
        </w:numPr>
        <w:shd w:fill="ffffff" w:val="clear"/>
        <w:spacing w:after="0" w:before="280" w:line="240" w:lineRule="auto"/>
        <w:ind w:left="720" w:hanging="360"/>
        <w:rPr>
          <w:color w:val="404040"/>
        </w:rPr>
      </w:pPr>
      <w:r w:rsidDel="00000000" w:rsidR="00000000" w:rsidRPr="00000000">
        <w:rPr>
          <w:color w:val="404040"/>
          <w:rtl w:val="0"/>
        </w:rPr>
        <w:t xml:space="preserve">Fomento de la competitividad de la agricultura.</w:t>
      </w:r>
    </w:p>
    <w:p w:rsidR="00000000" w:rsidDel="00000000" w:rsidP="00000000" w:rsidRDefault="00000000" w:rsidRPr="00000000" w14:paraId="00000008">
      <w:pPr>
        <w:numPr>
          <w:ilvl w:val="0"/>
          <w:numId w:val="1"/>
        </w:numPr>
        <w:shd w:fill="ffffff" w:val="clear"/>
        <w:spacing w:after="0" w:before="0" w:line="240" w:lineRule="auto"/>
        <w:ind w:left="720" w:hanging="360"/>
        <w:rPr>
          <w:color w:val="404040"/>
        </w:rPr>
      </w:pPr>
      <w:r w:rsidDel="00000000" w:rsidR="00000000" w:rsidRPr="00000000">
        <w:rPr>
          <w:color w:val="404040"/>
          <w:rtl w:val="0"/>
        </w:rPr>
        <w:t xml:space="preserve">Garantizar la gestión sostenible de los recursos naturales y la acción por el climá.</w:t>
      </w:r>
    </w:p>
    <w:p w:rsidR="00000000" w:rsidDel="00000000" w:rsidP="00000000" w:rsidRDefault="00000000" w:rsidRPr="00000000" w14:paraId="00000009">
      <w:pPr>
        <w:numPr>
          <w:ilvl w:val="0"/>
          <w:numId w:val="1"/>
        </w:numPr>
        <w:shd w:fill="ffffff" w:val="clear"/>
        <w:spacing w:after="280" w:before="0" w:line="240" w:lineRule="auto"/>
        <w:ind w:left="720" w:hanging="360"/>
        <w:rPr>
          <w:color w:val="404040"/>
        </w:rPr>
      </w:pPr>
      <w:r w:rsidDel="00000000" w:rsidR="00000000" w:rsidRPr="00000000">
        <w:rPr>
          <w:color w:val="404040"/>
          <w:rtl w:val="0"/>
        </w:rPr>
        <w:t xml:space="preserve">Lograr un desarrollo territorial equilibrado de las economías y comunidades rurales, incluidas la creación y la consevación de empleo.</w:t>
      </w:r>
    </w:p>
    <w:p w:rsidR="00000000" w:rsidDel="00000000" w:rsidP="00000000" w:rsidRDefault="00000000" w:rsidRPr="00000000" w14:paraId="0000000A">
      <w:pPr>
        <w:pStyle w:val="Heading2"/>
        <w:pBdr>
          <w:bottom w:color="000000" w:space="0" w:sz="12" w:val="single"/>
        </w:pBdr>
        <w:shd w:fill="ffffff" w:val="clea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Programas de desarrollo rural</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Estos programas pueden elaborarse a escala nacional o regional y deben trabajar en favor de al menos cuatro de las seis prioridades del Fondo Europeo Agrícola de Desarrollo Rural (FEADER). Los países deben establecer objetivos de acuerdo con ámbitos de interés específicos, identificar las medidas que utilizarán y la financiación que necesitarán para alcanzar dichos objetivos.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Así, mientras la Comisión Europea aprueba y supervisa los PDR, las decisiones relativas a la selección de proyectos y a la concesión de pagos se tramitan a nivel nacional o regional.</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Algunos ejemplos de proyectos financiados por el FEADER y ejecutados a través de los PDR son:</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280" w:line="240" w:lineRule="auto"/>
        <w:ind w:left="720" w:right="0" w:hanging="36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Al menos el 30% de la financiación de cada PDR debe destinarse a medidas relacionadas con el medio ambiente y el cambio climático, gran parte de las cuales se canalizan a través de subvenciones y pagos anuales a los agricultores que se decanten por prácticas más respetuosas con el medio ambiente.</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Al menos el 5% de la financiación de los PDR debe destinarse a medidas basadas en el enfoque LEADER. LEADER es un enfoque de “abajo arriba”, que reúne a agricultores, empresas rurales, organizaciones locales, administraciones públicas y personas de distintos sectores para formar los llamados "grupos de acción local". Dichos grupos elaboran sus propias estrategias de desarrollo local y gestionan sus propios presupuestos.</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Los programas de desarrollo rural pueden apoyar también la estrategia digital en las zonas rurales a través de la idea de “pueblos inteligentes”. Esta iniciativa tiene por objeto ofrecer un conjunto de herramientas versátil para fomentar, posibilitar y ampliar la innovación en las zonas rurales de toda Europa atendiendo los desafíos comunes a los que se enfrentan los residentes de territorios rurales.</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Además, a través de instrumentos financieros, el FEADER funciona como fuente de préstamos, microcréditos, garantías y acciones para beneficiarios de los sectores de la agricultura, la silvicultura y de las zonas rurales que emprendan proyectos financieramente viables en apoyo de las prioridades del FEADER.</w:t>
      </w:r>
      <w:r w:rsidDel="00000000" w:rsidR="00000000" w:rsidRPr="00000000">
        <w:rPr>
          <w:rtl w:val="0"/>
        </w:rPr>
      </w:r>
    </w:p>
    <w:sectPr>
      <w:headerReference r:id="rId7" w:type="default"/>
      <w:footerReference r:id="rId8" w:type="default"/>
      <w:pgSz w:h="15840" w:w="12240" w:orient="portrait"/>
      <w:pgMar w:bottom="1440" w:top="1133.8582677165355" w:left="1275.5905511811022" w:right="133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inheri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 obtener más información, visite el sitio web de la Comisión Europea sobre la política agrícola común: </w:t>
    </w:r>
    <w:hyperlink r:id="rId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https://ec.europa.eu/info/food-farming-fisheries/key-policies/common-agricultural-policy/cap-glance_en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link w:val="Ttulo1Car"/>
    <w:uiPriority w:val="9"/>
    <w:qFormat w:val="1"/>
    <w:rsid w:val="0056701B"/>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rPr>
  </w:style>
  <w:style w:type="paragraph" w:styleId="Ttulo2">
    <w:name w:val="heading 2"/>
    <w:basedOn w:val="Normal"/>
    <w:next w:val="Normal"/>
    <w:link w:val="Ttulo2Car"/>
    <w:uiPriority w:val="9"/>
    <w:semiHidden w:val="1"/>
    <w:unhideWhenUsed w:val="1"/>
    <w:qFormat w:val="1"/>
    <w:rsid w:val="0056701B"/>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56701B"/>
    <w:rPr>
      <w:rFonts w:ascii="Times New Roman" w:cs="Times New Roman" w:eastAsia="Times New Roman" w:hAnsi="Times New Roman"/>
      <w:b w:val="1"/>
      <w:bCs w:val="1"/>
      <w:kern w:val="36"/>
      <w:sz w:val="48"/>
      <w:szCs w:val="48"/>
    </w:rPr>
  </w:style>
  <w:style w:type="paragraph" w:styleId="NormalWeb">
    <w:name w:val="Normal (Web)"/>
    <w:basedOn w:val="Normal"/>
    <w:uiPriority w:val="99"/>
    <w:semiHidden w:val="1"/>
    <w:unhideWhenUsed w:val="1"/>
    <w:rsid w:val="0056701B"/>
    <w:pPr>
      <w:spacing w:after="100" w:afterAutospacing="1" w:before="100" w:beforeAutospacing="1" w:line="240" w:lineRule="auto"/>
    </w:pPr>
    <w:rPr>
      <w:rFonts w:ascii="Times New Roman" w:cs="Times New Roman" w:eastAsia="Times New Roman" w:hAnsi="Times New Roman"/>
      <w:sz w:val="24"/>
      <w:szCs w:val="24"/>
    </w:rPr>
  </w:style>
  <w:style w:type="character" w:styleId="Ttulo2Car" w:customStyle="1">
    <w:name w:val="Título 2 Car"/>
    <w:basedOn w:val="Fuentedeprrafopredeter"/>
    <w:link w:val="Ttulo2"/>
    <w:uiPriority w:val="9"/>
    <w:semiHidden w:val="1"/>
    <w:rsid w:val="0056701B"/>
    <w:rPr>
      <w:rFonts w:asciiTheme="majorHAnsi" w:cstheme="majorBidi" w:eastAsiaTheme="majorEastAsia" w:hAnsiTheme="majorHAnsi"/>
      <w:color w:val="2f5496" w:themeColor="accent1" w:themeShade="0000BF"/>
      <w:sz w:val="26"/>
      <w:szCs w:val="26"/>
    </w:rPr>
  </w:style>
  <w:style w:type="character" w:styleId="Hipervnculo">
    <w:name w:val="Hyperlink"/>
    <w:basedOn w:val="Fuentedeprrafopredeter"/>
    <w:uiPriority w:val="99"/>
    <w:unhideWhenUsed w:val="1"/>
    <w:rsid w:val="0056701B"/>
    <w:rPr>
      <w:color w:val="0000ff"/>
      <w:u w:val="single"/>
    </w:rPr>
  </w:style>
  <w:style w:type="paragraph" w:styleId="Prrafodelista">
    <w:name w:val="List Paragraph"/>
    <w:basedOn w:val="Normal"/>
    <w:uiPriority w:val="34"/>
    <w:qFormat w:val="1"/>
    <w:rsid w:val="0056701B"/>
    <w:pPr>
      <w:ind w:left="720"/>
      <w:contextualSpacing w:val="1"/>
    </w:pPr>
  </w:style>
  <w:style w:type="paragraph" w:styleId="Encabezado">
    <w:name w:val="header"/>
    <w:basedOn w:val="Normal"/>
    <w:link w:val="EncabezadoCar"/>
    <w:uiPriority w:val="99"/>
    <w:unhideWhenUsed w:val="1"/>
    <w:rsid w:val="00996EC9"/>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996EC9"/>
  </w:style>
  <w:style w:type="paragraph" w:styleId="Piedepgina">
    <w:name w:val="footer"/>
    <w:basedOn w:val="Normal"/>
    <w:link w:val="PiedepginaCar"/>
    <w:uiPriority w:val="99"/>
    <w:unhideWhenUsed w:val="1"/>
    <w:rsid w:val="00996EC9"/>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996EC9"/>
  </w:style>
  <w:style w:type="character" w:styleId="Mencinsinresolver">
    <w:name w:val="Unresolved Mention"/>
    <w:basedOn w:val="Fuentedeprrafopredeter"/>
    <w:uiPriority w:val="99"/>
    <w:semiHidden w:val="1"/>
    <w:unhideWhenUsed w:val="1"/>
    <w:rsid w:val="00996EC9"/>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ec.europa.eu/info/food-farming-fisheries/key-policies/common-agricultural-policy/cap-glanc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X03PhsoZBLiCq6r6YhqQWnyKEA==">AMUW2mXq6Ibg91+6BlAS9QKUF2jTWCbojXNA4kN3HnHdl0F9BC8aNYiBsL5EvX0GsTbMPVQlDXHG5zwBZ5LG0bszG2VkYEhbcRptoGxpV2btFCJDYUn78Eg=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2022-06-07T14:09:00Z</dcterms:created>
  <dc:creator>Menelaos Lambis</dc:creator>
</cp:coreProperties>
</file>